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«Проверка объектов культурного наследия</w:t>
      </w:r>
      <w:r>
        <w:rPr>
          <w:b w:val="1"/>
          <w:sz w:val="28"/>
        </w:rPr>
        <w:t>»</w:t>
      </w:r>
      <w:r>
        <w:rPr>
          <w:sz w:val="28"/>
        </w:rPr>
        <w:t xml:space="preserve"> </w:t>
      </w:r>
    </w:p>
    <w:p w14:paraId="08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П</w:t>
      </w:r>
      <w:r>
        <w:rPr>
          <w:sz w:val="28"/>
        </w:rPr>
        <w:t>рокуратурой</w:t>
      </w:r>
      <w:r>
        <w:rPr>
          <w:sz w:val="28"/>
        </w:rPr>
        <w:t xml:space="preserve"> района</w:t>
      </w:r>
      <w:r>
        <w:rPr>
          <w:color w:val="000000"/>
          <w:sz w:val="28"/>
          <w:u w:val="none"/>
        </w:rPr>
        <w:t xml:space="preserve"> </w:t>
      </w:r>
      <w:r>
        <w:rPr>
          <w:color w:val="000000"/>
          <w:sz w:val="28"/>
          <w:u w:val="none"/>
        </w:rPr>
        <w:t xml:space="preserve">проведена проверка исполнения законодательства </w:t>
      </w:r>
      <w:r>
        <w:rPr>
          <w:color w:val="000000"/>
          <w:sz w:val="28"/>
          <w:u w:val="none"/>
        </w:rPr>
        <w:t>об охране объектов культурного наследия, о муниципальной собственности, в результате которой установлено следующее</w:t>
      </w:r>
      <w:r>
        <w:rPr>
          <w:color w:val="000000"/>
          <w:sz w:val="28"/>
          <w:u w:val="none"/>
        </w:rPr>
        <w:t>.</w:t>
      </w:r>
    </w:p>
    <w:p w14:paraId="0A000000">
      <w:pPr>
        <w:ind w:firstLine="709" w:left="0"/>
        <w:jc w:val="both"/>
        <w:rPr>
          <w:b w:val="0"/>
          <w:color w:val="000000"/>
          <w:sz w:val="28"/>
          <w:u w:val="none"/>
        </w:rPr>
      </w:pPr>
      <w:r>
        <w:rPr>
          <w:color w:val="000000"/>
          <w:sz w:val="28"/>
          <w:u w:val="none"/>
        </w:rPr>
        <w:t xml:space="preserve">В силу статьи 6 </w:t>
      </w:r>
      <w:r>
        <w:rPr>
          <w:b w:val="0"/>
          <w:color w:val="000000"/>
          <w:sz w:val="28"/>
          <w:u w:val="none"/>
        </w:rPr>
        <w:t>Федерального закона от 25.06.2002 № 73-ФЗ «</w:t>
      </w:r>
      <w:r>
        <w:rPr>
          <w:b w:val="0"/>
          <w:color w:val="000000"/>
          <w:sz w:val="28"/>
          <w:u w:val="none"/>
        </w:rPr>
        <w:t>Об объектах культурного наследия (памятниках истории и культуры) народов Российской Федерации» (далее – ФЗ № 73) п</w:t>
      </w:r>
      <w:r>
        <w:rPr>
          <w:b w:val="0"/>
          <w:color w:val="000000"/>
          <w:sz w:val="28"/>
          <w:u w:val="none"/>
        </w:rPr>
        <w:t>од государственной охраной объектов культурного наследия в целях настоящего Федерального закона понимается система правовых, организационных, финансовых, материально-технических, информационных и иных принимаемых органами государственной власти Российской Федерации и органами государственной власти субъектов Российской Федерации, органами местного самоуправления в соответствии с настоящим Федеральным законом в пределах их компетенции мер, направленных на выявление, учет, изучение объектов культурного наследия, предотвращение их разрушения или причинения им вреда.</w:t>
      </w:r>
    </w:p>
    <w:p w14:paraId="0B000000">
      <w:pPr>
        <w:spacing w:after="0" w:before="0"/>
        <w:ind w:firstLine="709" w:left="0" w:right="0"/>
        <w:jc w:val="both"/>
        <w:rPr>
          <w:b w:val="0"/>
          <w:color w:val="000000"/>
          <w:sz w:val="28"/>
          <w:u w:val="none"/>
        </w:rPr>
      </w:pPr>
      <w:r>
        <w:rPr>
          <w:b w:val="0"/>
          <w:color w:val="000000"/>
          <w:sz w:val="28"/>
          <w:u w:val="none"/>
        </w:rPr>
        <w:t>В соответствии с пунктом 1 статьи 16.1 ФЗ № 73 региональные органы охраны объектов культурного наследия, муниципальные органы охраны объектов культурного наследия организуют проведение работ по выявлению и государственному учету объектов, обладающих признаками объекта культурного наследия в соответствии со</w:t>
      </w:r>
      <w:r>
        <w:rPr>
          <w:b w:val="0"/>
          <w:color w:val="000000"/>
          <w:sz w:val="28"/>
          <w:u w:val="none"/>
        </w:rPr>
        <w:t xml:space="preserve"> </w:t>
      </w:r>
      <w:r>
        <w:rPr>
          <w:b w:val="0"/>
          <w:strike w:val="0"/>
          <w:color w:val="000000"/>
          <w:sz w:val="28"/>
          <w:u w:color="000000" w:val="none"/>
        </w:rPr>
        <w:t>статьей 3</w:t>
      </w:r>
      <w:r>
        <w:rPr>
          <w:b w:val="0"/>
          <w:color w:val="000000"/>
          <w:sz w:val="28"/>
          <w:u w:val="none"/>
        </w:rPr>
        <w:t xml:space="preserve"> </w:t>
      </w:r>
      <w:r>
        <w:rPr>
          <w:b w:val="0"/>
          <w:color w:val="000000"/>
          <w:sz w:val="28"/>
          <w:u w:val="none"/>
        </w:rPr>
        <w:t>настоящего Федерального закона (далее - объект, обладающий признаками объекта культурного наследия).</w:t>
      </w:r>
      <w:r>
        <w:rPr>
          <w:color w:val="000000"/>
          <w:sz w:val="28"/>
          <w:u w:val="none"/>
        </w:rPr>
        <w:br/>
      </w:r>
      <w:r>
        <w:rPr>
          <w:b w:val="0"/>
          <w:color w:val="000000"/>
          <w:sz w:val="28"/>
          <w:u w:val="none"/>
        </w:rPr>
        <w:tab/>
      </w:r>
      <w:r>
        <w:rPr>
          <w:b w:val="0"/>
          <w:color w:val="000000"/>
          <w:sz w:val="28"/>
          <w:u w:val="none"/>
        </w:rPr>
        <w:t>Пунктом 3 статьи 2 ФЗ № 73 предусмотрено, что имущественные отношения, возникающие при сохранении, использовании, популяризации и государственной охране объектов культурного наследия (памятников истории и культуры) народов Российской Федерации, регулируются гражданским</w:t>
      </w:r>
      <w:r>
        <w:rPr>
          <w:b w:val="0"/>
          <w:color w:val="000000"/>
          <w:sz w:val="28"/>
          <w:u w:val="none"/>
        </w:rPr>
        <w:t xml:space="preserve"> </w:t>
      </w:r>
      <w:r>
        <w:rPr>
          <w:b w:val="0"/>
          <w:strike w:val="0"/>
          <w:color w:val="000000"/>
          <w:sz w:val="28"/>
          <w:u w:color="000000" w:val="none"/>
        </w:rPr>
        <w:t>законодательством</w:t>
      </w:r>
      <w:r>
        <w:rPr>
          <w:b w:val="0"/>
          <w:color w:val="000000"/>
          <w:sz w:val="28"/>
          <w:u w:val="none"/>
        </w:rPr>
        <w:t xml:space="preserve"> </w:t>
      </w:r>
      <w:r>
        <w:rPr>
          <w:b w:val="0"/>
          <w:color w:val="000000"/>
          <w:sz w:val="28"/>
          <w:u w:val="none"/>
        </w:rPr>
        <w:t>Российской Федерации с учетом особенностей, установленных настоящим Федеральным законом.</w:t>
      </w:r>
    </w:p>
    <w:p w14:paraId="0C000000">
      <w:pPr>
        <w:spacing w:after="0" w:line="240" w:lineRule="auto"/>
        <w:ind w:firstLine="709" w:left="0" w:right="0"/>
        <w:jc w:val="both"/>
        <w:rPr>
          <w:sz w:val="28"/>
          <w:u w:val="none"/>
        </w:rPr>
      </w:pPr>
      <w:r>
        <w:rPr>
          <w:sz w:val="28"/>
          <w:u w:val="none"/>
        </w:rPr>
        <w:t>Согласно части 1 статьи 225 Гражданского кодекса Российской Федерации (далее - ГК РФ) вещь, которая не имеет собственника или собственник которой неизвестен, является бесхозяйной вещью.</w:t>
      </w:r>
    </w:p>
    <w:p w14:paraId="0D000000">
      <w:pPr>
        <w:spacing w:after="0" w:line="240" w:lineRule="auto"/>
        <w:ind w:firstLine="709" w:left="0" w:righ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При этом, частью 3 вышеуказанной статьи 225 ГК РФ определено, что </w:t>
      </w:r>
      <w:r>
        <w:rPr>
          <w:sz w:val="28"/>
          <w:u w:val="none"/>
        </w:rPr>
        <w:t>бесхозяйные недвижимые вещи принимаются</w:t>
      </w:r>
      <w:r>
        <w:rPr>
          <w:sz w:val="28"/>
          <w:u w:val="none"/>
        </w:rPr>
        <w:t xml:space="preserve"> на учет органом, осуществляющим государственную регистрацию прав на недвижимое имущество, </w:t>
      </w:r>
      <w:r>
        <w:rPr>
          <w:sz w:val="28"/>
          <w:u w:val="none"/>
        </w:rPr>
        <w:t>по заявлению органа местного самоуправления</w:t>
      </w:r>
      <w:r>
        <w:rPr>
          <w:sz w:val="28"/>
          <w:u w:val="none"/>
        </w:rPr>
        <w:t>, на территории которого они находятся.</w:t>
      </w:r>
    </w:p>
    <w:p w14:paraId="0E000000">
      <w:pPr>
        <w:spacing w:after="0" w:line="240" w:lineRule="auto"/>
        <w:ind w:firstLine="567" w:left="0" w:right="0"/>
        <w:jc w:val="both"/>
        <w:rPr>
          <w:sz w:val="28"/>
        </w:rPr>
      </w:pPr>
      <w:r>
        <w:rPr>
          <w:sz w:val="28"/>
        </w:rPr>
        <w:t>Форма заявления о постановке на учет бесхозяйного объекта недвижимого имущества, порядок его представления и перечень необходимых документов, установлены приказом Федеральной службы государственной регистрации, кадастра и картографии от 15 марта 2023 года № П/0086.</w:t>
      </w:r>
    </w:p>
    <w:p w14:paraId="0F000000">
      <w:pPr>
        <w:spacing w:after="0" w:line="240" w:lineRule="auto"/>
        <w:ind w:firstLine="567" w:left="0" w:right="0"/>
        <w:jc w:val="both"/>
        <w:rPr>
          <w:sz w:val="28"/>
        </w:rPr>
      </w:pPr>
      <w:r>
        <w:rPr>
          <w:color w:val="000000"/>
          <w:sz w:val="28"/>
          <w:u w:val="none"/>
        </w:rPr>
        <w:t xml:space="preserve">В ходе проведенной проверки, на основании информации </w:t>
      </w:r>
      <w:r>
        <w:rPr>
          <w:color w:val="000000"/>
          <w:sz w:val="28"/>
          <w:u w:val="none"/>
        </w:rPr>
        <w:t>Управления по охране объектов культурного наследия Липецкой области (далее- Упра</w:t>
      </w:r>
      <w:r>
        <w:rPr>
          <w:color w:val="000000"/>
          <w:sz w:val="28"/>
          <w:u w:val="none"/>
        </w:rPr>
        <w:t>вление)  установлено, что на территории Становлянского муниципального округа  Липецко</w:t>
      </w:r>
      <w:r>
        <w:rPr>
          <w:sz w:val="28"/>
          <w:u w:val="none"/>
        </w:rPr>
        <w:t>й области находятся следующие объекты недвижимого имущества, являющиеся объектами культурного наследия регионального значения, собственник (законный владелец) у которых отсутствует:</w:t>
      </w:r>
    </w:p>
    <w:p w14:paraId="10000000">
      <w:pPr>
        <w:numPr>
          <w:numId w:val="1"/>
        </w:numPr>
        <w:spacing w:after="0" w:line="240" w:lineRule="auto"/>
        <w:ind w:firstLine="850" w:left="0" w:right="0"/>
        <w:jc w:val="both"/>
        <w:rPr>
          <w:sz w:val="28"/>
          <w:u w:val="none"/>
        </w:rPr>
      </w:pPr>
      <w:r>
        <w:rPr>
          <w:sz w:val="28"/>
          <w:u w:val="none"/>
        </w:rPr>
        <w:t>«Церковь Покровская», расположенная по адресу: село Злобино, улица Школьная, дом 5а, Становлянского муниципального округа;</w:t>
      </w:r>
    </w:p>
    <w:p w14:paraId="11000000">
      <w:pPr>
        <w:numPr>
          <w:numId w:val="1"/>
        </w:numPr>
        <w:spacing w:after="0" w:line="240" w:lineRule="auto"/>
        <w:ind w:firstLine="850" w:left="0" w:right="0"/>
        <w:jc w:val="both"/>
        <w:rPr>
          <w:sz w:val="28"/>
          <w:u w:val="none"/>
        </w:rPr>
      </w:pPr>
      <w:r>
        <w:rPr>
          <w:sz w:val="28"/>
          <w:u w:val="none"/>
        </w:rPr>
        <w:t xml:space="preserve">«Церковь Покрова», </w:t>
      </w:r>
      <w:r>
        <w:rPr>
          <w:sz w:val="28"/>
          <w:u w:val="none"/>
        </w:rPr>
        <w:t>расположенная по адресу: село Покровское, ул. Мира Становлянского муниципального округа;</w:t>
      </w:r>
    </w:p>
    <w:p w14:paraId="12000000">
      <w:pPr>
        <w:numPr>
          <w:numId w:val="1"/>
        </w:numPr>
        <w:spacing w:after="0" w:line="240" w:lineRule="auto"/>
        <w:ind w:firstLine="850" w:left="0" w:right="0"/>
        <w:jc w:val="both"/>
        <w:rPr>
          <w:sz w:val="28"/>
          <w:u w:val="none"/>
        </w:rPr>
      </w:pPr>
      <w:r>
        <w:rPr>
          <w:sz w:val="28"/>
          <w:u w:val="none"/>
        </w:rPr>
        <w:t>«Церковь Воздвижения», расположенная по адресу: село Соловьево, улица Садовая, дом 30а, Становлянского муниципального округа.</w:t>
      </w:r>
    </w:p>
    <w:p w14:paraId="13000000">
      <w:pPr>
        <w:spacing w:after="0" w:line="240" w:lineRule="auto"/>
        <w:ind w:firstLine="567" w:left="0" w:right="0"/>
        <w:jc w:val="both"/>
        <w:rPr>
          <w:sz w:val="28"/>
        </w:rPr>
      </w:pPr>
      <w:r>
        <w:rPr>
          <w:sz w:val="28"/>
        </w:rPr>
        <w:t xml:space="preserve">При этом, администрацией Становлянского муниципального округа работа по постановке на учет бесхозяйных объектов недвижимого имущества, оформления права муниципальной собственности с последующей передачей таких объектов недвижимости религиозного значения в соответствии с Федеральным законом от 30.11.2010 № 327-ФЗ «О передаче религиозным организациям имущества религиозного значения, находящегося в государственной или муниципальной собственности» в Липецкую Епархию РПЦ МП не организована. </w:t>
      </w:r>
    </w:p>
    <w:p w14:paraId="14000000">
      <w:pPr>
        <w:ind w:right="0"/>
        <w:jc w:val="both"/>
        <w:rPr>
          <w:sz w:val="28"/>
        </w:rPr>
      </w:pPr>
      <w:r>
        <w:rPr>
          <w:sz w:val="28"/>
        </w:rPr>
        <w:t xml:space="preserve">       Непринятие мер по постановке на учет как бесхозяйного имущества носит существенный характер, поскольку отсутствие собственника не обеспечивает надлежащее содержание зданий, контроль за их техническим состоянием, а также ставит под угрозу жизнь и здоровье прихожан. </w:t>
      </w:r>
    </w:p>
    <w:p w14:paraId="15000000">
      <w:pPr>
        <w:ind w:firstLine="567" w:left="0" w:right="0"/>
        <w:jc w:val="both"/>
        <w:rPr>
          <w:sz w:val="28"/>
        </w:rPr>
      </w:pPr>
      <w:r>
        <w:rPr>
          <w:sz w:val="28"/>
        </w:rPr>
        <w:t xml:space="preserve">По выявленным нарушениям закона прокурором района главе администрации Становлянского округа внесено представление об устранении нарушений законодательства </w:t>
      </w:r>
      <w:r>
        <w:rPr>
          <w:color w:val="000000"/>
          <w:sz w:val="28"/>
          <w:u w:val="none"/>
        </w:rPr>
        <w:t>об охране объектов культурного наследия, о муниципальной собственности, которое рассмотрено и удовлет</w:t>
      </w:r>
      <w:r>
        <w:rPr>
          <w:sz w:val="28"/>
        </w:rPr>
        <w:t xml:space="preserve">ворено.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</w:p>
    <w:p w14:paraId="16000000">
      <w:pPr>
        <w:ind w:right="-1333"/>
        <w:jc w:val="both"/>
        <w:rPr>
          <w:sz w:val="28"/>
        </w:rPr>
      </w:pPr>
    </w:p>
    <w:p w14:paraId="17000000">
      <w:pPr>
        <w:ind w:right="-1333"/>
        <w:jc w:val="both"/>
        <w:rPr>
          <w:sz w:val="28"/>
        </w:rPr>
      </w:pPr>
    </w:p>
    <w:p w14:paraId="18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Помощник прокурора района </w:t>
      </w:r>
    </w:p>
    <w:p w14:paraId="19000000">
      <w:pPr>
        <w:spacing w:line="240" w:lineRule="exact"/>
        <w:ind w:right="-1333"/>
        <w:jc w:val="both"/>
        <w:rPr>
          <w:sz w:val="28"/>
        </w:rPr>
      </w:pPr>
    </w:p>
    <w:p w14:paraId="1A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юрист 1 класса                                                                                  А.В. Герасимов 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Цветовое выделение"/>
    <w:link w:val="Style_6_ch"/>
    <w:rPr>
      <w:b w:val="1"/>
      <w:color w:val="26282F"/>
    </w:rPr>
  </w:style>
  <w:style w:styleId="Style_6_ch" w:type="character">
    <w:name w:val="Цветовое выделение"/>
    <w:link w:val="Style_6"/>
    <w:rPr>
      <w:b w:val="1"/>
      <w:color w:val="26282F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Заголовок статьи"/>
    <w:basedOn w:val="Style_1"/>
    <w:next w:val="Style_1"/>
    <w:link w:val="Style_10_ch"/>
    <w:pPr>
      <w:ind w:hanging="892" w:left="1612"/>
      <w:jc w:val="both"/>
    </w:pPr>
    <w:rPr>
      <w:rFonts w:ascii="Arial" w:hAnsi="Arial"/>
    </w:rPr>
  </w:style>
  <w:style w:styleId="Style_10_ch" w:type="character">
    <w:name w:val="Заголовок статьи"/>
    <w:basedOn w:val="Style_1_ch"/>
    <w:link w:val="Style_10"/>
    <w:rPr>
      <w:rFonts w:ascii="Arial" w:hAnsi="Arial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Balloon Text"/>
    <w:basedOn w:val="Style_1"/>
    <w:link w:val="Style_14_ch"/>
    <w:rPr>
      <w:rFonts w:ascii="Tahoma" w:hAnsi="Tahoma"/>
      <w:sz w:val="16"/>
    </w:rPr>
  </w:style>
  <w:style w:styleId="Style_14_ch" w:type="character">
    <w:name w:val="Balloon Text"/>
    <w:basedOn w:val="Style_1_ch"/>
    <w:link w:val="Style_14"/>
    <w:rPr>
      <w:rFonts w:ascii="Tahoma" w:hAnsi="Tahoma"/>
      <w:sz w:val="16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2025-11-11T15:39:46Z</dcterms:modified>
</cp:coreProperties>
</file>