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333"/>
        <w:jc w:val="center"/>
        <w:rPr>
          <w:b w:val="1"/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</w:rPr>
        <w:t xml:space="preserve">                                             </w:t>
      </w:r>
      <w:r>
        <w:rPr>
          <w:b w:val="1"/>
          <w:sz w:val="28"/>
        </w:rPr>
        <w:t xml:space="preserve">ПРОКУРАТУРА </w:t>
      </w:r>
    </w:p>
    <w:p w14:paraId="02000000">
      <w:pPr>
        <w:ind w:right="-1333"/>
        <w:jc w:val="center"/>
        <w:rPr>
          <w:b w:val="1"/>
          <w:sz w:val="28"/>
        </w:rPr>
      </w:pPr>
      <w:r>
        <w:rPr>
          <w:b w:val="1"/>
          <w:sz w:val="28"/>
        </w:rPr>
        <w:t>СТАНОВЛЯНСКОГО РАЙОНА</w:t>
      </w:r>
    </w:p>
    <w:p w14:paraId="03000000">
      <w:pPr>
        <w:ind w:right="-1333"/>
        <w:jc w:val="center"/>
        <w:rPr>
          <w:b w:val="1"/>
          <w:sz w:val="28"/>
        </w:rPr>
      </w:pPr>
      <w:r>
        <w:rPr>
          <w:b w:val="1"/>
          <w:sz w:val="28"/>
        </w:rPr>
        <w:t xml:space="preserve">ИНФОРМИРУЕТ </w:t>
      </w:r>
    </w:p>
    <w:p w14:paraId="04000000">
      <w:pPr>
        <w:ind w:right="-1333"/>
        <w:jc w:val="both"/>
        <w:rPr>
          <w:sz w:val="28"/>
        </w:rPr>
      </w:pPr>
    </w:p>
    <w:p w14:paraId="05000000">
      <w:pPr>
        <w:ind w:right="-1333"/>
        <w:jc w:val="both"/>
        <w:rPr>
          <w:sz w:val="28"/>
        </w:rPr>
      </w:pPr>
      <w:r>
        <w:rPr>
          <w:sz w:val="28"/>
        </w:rPr>
        <w:t xml:space="preserve">11 ноября </w:t>
      </w:r>
      <w:r>
        <w:rPr>
          <w:sz w:val="28"/>
        </w:rPr>
        <w:t>20</w:t>
      </w:r>
      <w:r>
        <w:rPr>
          <w:sz w:val="28"/>
        </w:rPr>
        <w:t>2</w:t>
      </w:r>
      <w:r>
        <w:rPr>
          <w:sz w:val="28"/>
        </w:rPr>
        <w:t>5</w:t>
      </w:r>
      <w:r>
        <w:rPr>
          <w:sz w:val="28"/>
        </w:rPr>
        <w:t xml:space="preserve"> года</w:t>
      </w:r>
      <w:r>
        <w:rPr>
          <w:sz w:val="28"/>
        </w:rPr>
        <w:t xml:space="preserve">                                           </w:t>
      </w:r>
      <w:r>
        <w:rPr>
          <w:sz w:val="28"/>
        </w:rPr>
        <w:t xml:space="preserve">                </w:t>
      </w:r>
      <w:r>
        <w:rPr>
          <w:sz w:val="28"/>
        </w:rPr>
        <w:t xml:space="preserve">                     </w:t>
      </w:r>
      <w:r>
        <w:rPr>
          <w:sz w:val="28"/>
        </w:rPr>
        <w:t xml:space="preserve"> </w:t>
      </w:r>
    </w:p>
    <w:p w14:paraId="06000000">
      <w:pPr>
        <w:ind w:right="-1333"/>
        <w:jc w:val="both"/>
        <w:rPr>
          <w:sz w:val="28"/>
        </w:rPr>
      </w:pPr>
      <w:r>
        <w:rPr>
          <w:b w:val="1"/>
          <w:sz w:val="28"/>
        </w:rPr>
        <w:t xml:space="preserve">                                   </w:t>
      </w:r>
    </w:p>
    <w:p w14:paraId="07000000">
      <w:pPr>
        <w:ind w:right="-1333"/>
        <w:jc w:val="both"/>
        <w:rPr>
          <w:sz w:val="28"/>
        </w:rPr>
      </w:pPr>
      <w:r>
        <w:rPr>
          <w:b w:val="1"/>
          <w:sz w:val="28"/>
        </w:rPr>
        <w:t xml:space="preserve">                         «Проверка земельного законодательства показала</w:t>
      </w:r>
      <w:r>
        <w:rPr>
          <w:b w:val="1"/>
          <w:sz w:val="28"/>
        </w:rPr>
        <w:t>»</w:t>
      </w:r>
      <w:r>
        <w:rPr>
          <w:sz w:val="28"/>
        </w:rPr>
        <w:t xml:space="preserve"> </w:t>
      </w:r>
    </w:p>
    <w:p w14:paraId="08000000">
      <w:pPr>
        <w:ind w:right="0"/>
        <w:jc w:val="both"/>
        <w:rPr>
          <w:sz w:val="28"/>
        </w:rPr>
      </w:pPr>
      <w:r>
        <w:rPr>
          <w:sz w:val="28"/>
        </w:rPr>
        <w:t xml:space="preserve">      </w:t>
      </w:r>
      <w:r>
        <w:rPr>
          <w:sz w:val="28"/>
        </w:rPr>
        <w:t xml:space="preserve">      </w:t>
      </w:r>
    </w:p>
    <w:p w14:paraId="09000000">
      <w:pPr>
        <w:ind w:right="0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>Прокуратурой</w:t>
      </w:r>
      <w:r>
        <w:rPr>
          <w:sz w:val="28"/>
        </w:rPr>
        <w:t xml:space="preserve"> р</w:t>
      </w:r>
      <w:r>
        <w:rPr>
          <w:sz w:val="28"/>
        </w:rPr>
        <w:t>айона</w:t>
      </w:r>
      <w:r>
        <w:rPr>
          <w:sz w:val="28"/>
        </w:rPr>
        <w:t xml:space="preserve"> проведена проверка соблюдения требований земельного законодательства в части предоставления земельных участков многодетным семьям для индивидуального жилищного строительства, в ходе которой выявлены нарушения закона.</w:t>
      </w:r>
      <w:r>
        <w:rPr>
          <w:sz w:val="28"/>
        </w:rPr>
        <w:t xml:space="preserve"> </w:t>
      </w:r>
    </w:p>
    <w:p w14:paraId="0A000000">
      <w:pPr>
        <w:tabs>
          <w:tab w:leader="none" w:pos="5812" w:val="left"/>
          <w:tab w:leader="none" w:pos="6096" w:val="left"/>
          <w:tab w:leader="none" w:pos="6521" w:val="left"/>
          <w:tab w:leader="none" w:pos="6804" w:val="left"/>
          <w:tab w:leader="none" w:pos="9639" w:val="left"/>
          <w:tab w:leader="none" w:pos="9781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 xml:space="preserve">На основании </w:t>
      </w:r>
      <w:r>
        <w:rPr>
          <w:rStyle w:val="Style_1_ch"/>
          <w:color w:val="000000"/>
          <w:sz w:val="28"/>
          <w:u w:val="none"/>
        </w:rPr>
        <w:fldChar w:fldCharType="begin"/>
      </w:r>
      <w:r>
        <w:rPr>
          <w:rStyle w:val="Style_1_ch"/>
          <w:color w:val="000000"/>
          <w:sz w:val="28"/>
          <w:u w:val="none"/>
        </w:rPr>
        <w:instrText>HYPERLINK "garantF1://12038291.2"</w:instrText>
      </w:r>
      <w:r>
        <w:rPr>
          <w:rStyle w:val="Style_1_ch"/>
          <w:color w:val="000000"/>
          <w:sz w:val="28"/>
          <w:u w:val="none"/>
        </w:rPr>
        <w:fldChar w:fldCharType="separate"/>
      </w:r>
      <w:r>
        <w:rPr>
          <w:rStyle w:val="Style_1_ch"/>
          <w:color w:val="000000"/>
          <w:sz w:val="28"/>
          <w:u w:val="none"/>
        </w:rPr>
        <w:t xml:space="preserve">статьи </w:t>
      </w:r>
      <w:r>
        <w:rPr>
          <w:rStyle w:val="Style_1_ch"/>
          <w:color w:val="000000"/>
          <w:sz w:val="28"/>
          <w:u w:val="none"/>
        </w:rPr>
        <w:t>2</w:t>
      </w:r>
      <w:r>
        <w:rPr>
          <w:rStyle w:val="Style_1_ch"/>
          <w:color w:val="000000"/>
          <w:sz w:val="28"/>
          <w:u w:val="none"/>
        </w:rPr>
        <w:fldChar w:fldCharType="end"/>
      </w:r>
      <w:r>
        <w:rPr>
          <w:sz w:val="28"/>
        </w:rPr>
        <w:t xml:space="preserve"> Жилищного кодекса РФ, органы местного самоуправления в пределах своих полномочий обеспечивают условия для осуществления гражданами права на жилище, в том числе обеспечивают защиту прав и законных интересов потребителей коммунальных услуг, а также услуг, касающихся обслуживания жилищного фонда.</w:t>
      </w:r>
      <w:r>
        <w:rPr>
          <w:sz w:val="28"/>
        </w:rPr>
        <w:t xml:space="preserve"> </w:t>
      </w:r>
    </w:p>
    <w:p w14:paraId="0B000000">
      <w:pPr>
        <w:tabs>
          <w:tab w:leader="none" w:pos="5812" w:val="left"/>
          <w:tab w:leader="none" w:pos="6096" w:val="left"/>
          <w:tab w:leader="none" w:pos="6521" w:val="left"/>
          <w:tab w:leader="none" w:pos="6804" w:val="left"/>
          <w:tab w:leader="none" w:pos="9639" w:val="left"/>
          <w:tab w:leader="none" w:pos="9781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>Согласно пункту 6 статьи 39.5 Земельного кодекса РФ 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 на основании решения уполномоченного органа осуществляется в случае предоставления земельного участка гражданам, имеющим трех и более детей, в случае и в порядке, которые установлены органами государственной власти субъектов Российской Федерации. Органами государственной власти субъектов Российской Федерации может быть предусмотрено требование о том,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учет,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бесплатно.</w:t>
      </w:r>
    </w:p>
    <w:p w14:paraId="0C000000">
      <w:pPr>
        <w:tabs>
          <w:tab w:leader="none" w:pos="5812" w:val="left"/>
          <w:tab w:leader="none" w:pos="6096" w:val="left"/>
          <w:tab w:leader="none" w:pos="6521" w:val="left"/>
          <w:tab w:leader="none" w:pos="6804" w:val="left"/>
          <w:tab w:leader="none" w:pos="9639" w:val="left"/>
          <w:tab w:leader="none" w:pos="9781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>На основании части 1 статьи 3 Закона Липецкой области от 07.09.2011 №</w:t>
      </w:r>
      <w:r>
        <w:rPr>
          <w:sz w:val="28"/>
        </w:rPr>
        <w:t xml:space="preserve"> </w:t>
      </w:r>
      <w:r>
        <w:rPr>
          <w:sz w:val="28"/>
        </w:rPr>
        <w:t xml:space="preserve">552-ОЗ "О бесплатном предоставлении земельных участков, находящихся в государственной или муниципальной собственности, гражданам, имеющим трех и более детей" земельные участки, предназначенные для индивидуального жилищного строительства или для ведения личного подсобного хозяйства </w:t>
      </w:r>
      <w:r>
        <w:rPr>
          <w:sz w:val="28"/>
        </w:rPr>
        <w:t xml:space="preserve">(приусадебный земельный участок), а также огородничества, ведения личного подсобного хозяйства (полевой земельный участок), садоводства, находящиеся в государственной или муниципальной собственности, бесплатно предоставляются в собственность или в аренду по выбору граждан, имеющих трех или более детей. </w:t>
      </w:r>
    </w:p>
    <w:p w14:paraId="0D000000">
      <w:pPr>
        <w:tabs>
          <w:tab w:leader="none" w:pos="5812" w:val="left"/>
          <w:tab w:leader="none" w:pos="6096" w:val="left"/>
          <w:tab w:leader="none" w:pos="6521" w:val="left"/>
          <w:tab w:leader="none" w:pos="6804" w:val="left"/>
          <w:tab w:leader="none" w:pos="9639" w:val="left"/>
          <w:tab w:leader="none" w:pos="9781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>Указом Президента Российской Федерации от 07.05.2012 № 600 «О мерах по обеспечению граждан Российской Федерации доступным и комфортным жильем и повышению качества жилищно-коммунальных услуг» Правительству Российской Федерации совместно с органами исполнительной власти субъектов Российской Федерации до июля 2012 г. поручалось разработать комплекс мер по улучшению жилищных условий семей, имеющих трех и более детей, включая создание при поддержке субъектов Российской Федерации и муниципальных образований необходимой инфраструктуры на земельных участках, предоставляемых указанной категории граждан на бесплатной основе.</w:t>
      </w:r>
    </w:p>
    <w:p w14:paraId="0E000000">
      <w:pPr>
        <w:tabs>
          <w:tab w:leader="none" w:pos="5812" w:val="left"/>
          <w:tab w:leader="none" w:pos="6096" w:val="left"/>
          <w:tab w:leader="none" w:pos="6521" w:val="left"/>
          <w:tab w:leader="none" w:pos="6804" w:val="left"/>
          <w:tab w:leader="none" w:pos="9639" w:val="left"/>
          <w:tab w:leader="none" w:pos="9781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>Во исполнение Указа Президента Российской Федерации от 07.05.2012 № 600 Распоряжением Правительства Российской Федерации от 29.06.2012 1119-р утвержден комплекс мер по улучшению жилищных условий многодетных семей, к числу которых отнесено утверждение субъектам Российской Федерации методических рекомендаций по порядку и случаям бесплатного предоставления земельных участков рассматриваемой категории граждан.</w:t>
      </w:r>
    </w:p>
    <w:p w14:paraId="0F000000">
      <w:pPr>
        <w:tabs>
          <w:tab w:leader="none" w:pos="5812" w:val="left"/>
          <w:tab w:leader="none" w:pos="6096" w:val="left"/>
          <w:tab w:leader="none" w:pos="6521" w:val="left"/>
          <w:tab w:leader="none" w:pos="6804" w:val="left"/>
          <w:tab w:leader="none" w:pos="9639" w:val="left"/>
          <w:tab w:leader="none" w:pos="9781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 xml:space="preserve">Согласно приказу </w:t>
      </w:r>
      <w:r>
        <w:rPr>
          <w:sz w:val="28"/>
        </w:rPr>
        <w:t>Минрегиона</w:t>
      </w:r>
      <w:r>
        <w:rPr>
          <w:sz w:val="28"/>
        </w:rPr>
        <w:t xml:space="preserve"> России от 09.09.2013 № 372 «Об утверждении методических рекомендаций субъектам Российской Федерации по порядку и случаям бесплатного предоставления земельных участков гражданам, имеющим трех и более детей» их целью является оказание методической помощи субъектам Российской Федерации в целях единообразного нормативного правового регулирования случаев и порядка бесплатного предоставления гражданам, имеющих трех и более детей, находящихся в государственной или муниципальной собственности земельных участков (далее - земельные участки), и практики предоставления органами исполнительной власти субъектов Российской Федерации, органами местного самоуправления указанной категории граждан земельных участков, включая создание при поддержке субъектов Российской Федерации и муниципальных образований необходимой инфраструктуры на земельных участках, предоставляемых указанной категории граждан на бесплатной основе.</w:t>
      </w:r>
    </w:p>
    <w:p w14:paraId="10000000">
      <w:pPr>
        <w:tabs>
          <w:tab w:leader="none" w:pos="5812" w:val="left"/>
          <w:tab w:leader="none" w:pos="6096" w:val="left"/>
          <w:tab w:leader="none" w:pos="6521" w:val="left"/>
          <w:tab w:leader="none" w:pos="6804" w:val="left"/>
          <w:tab w:leader="none" w:pos="9639" w:val="left"/>
          <w:tab w:leader="none" w:pos="9781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 xml:space="preserve">В соответствии со </w:t>
      </w:r>
      <w:r>
        <w:rPr>
          <w:rStyle w:val="Style_1_ch"/>
          <w:color w:val="000000"/>
          <w:sz w:val="28"/>
          <w:u w:val="none"/>
        </w:rPr>
        <w:fldChar w:fldCharType="begin"/>
      </w:r>
      <w:r>
        <w:rPr>
          <w:rStyle w:val="Style_1_ch"/>
          <w:color w:val="000000"/>
          <w:sz w:val="28"/>
          <w:u w:val="none"/>
        </w:rPr>
        <w:instrText>HYPERLINK "https://rospravosudie.com/law/%D0%A1%D1%82%D0%B0%D1%82%D1%8C%D1%8F_1_%D0%93%D1%80%D0%9A_%D0%A0%D0%A4"</w:instrText>
      </w:r>
      <w:r>
        <w:rPr>
          <w:rStyle w:val="Style_1_ch"/>
          <w:color w:val="000000"/>
          <w:sz w:val="28"/>
          <w:u w:val="none"/>
        </w:rPr>
        <w:fldChar w:fldCharType="separate"/>
      </w:r>
      <w:r>
        <w:rPr>
          <w:rStyle w:val="Style_1_ch"/>
          <w:color w:val="000000"/>
          <w:sz w:val="28"/>
          <w:u w:val="none"/>
        </w:rPr>
        <w:t>статьей</w:t>
      </w:r>
      <w:r>
        <w:rPr>
          <w:rStyle w:val="Style_1_ch"/>
          <w:color w:val="000000"/>
          <w:sz w:val="28"/>
          <w:u w:val="none"/>
        </w:rPr>
        <w:t xml:space="preserve"> 1 Градостроительного кодекса РФ</w:t>
      </w:r>
      <w:r>
        <w:rPr>
          <w:rStyle w:val="Style_1_ch"/>
          <w:color w:val="000000"/>
          <w:sz w:val="28"/>
          <w:u w:val="none"/>
        </w:rPr>
        <w:fldChar w:fldCharType="end"/>
      </w:r>
      <w:r>
        <w:rPr>
          <w:sz w:val="28"/>
        </w:rPr>
        <w:t xml:space="preserve"> система коммунальной инфраструктуры представляет собой, в том числе комплекс технологически связанных между собой объектов и инженерных сооружений, предназначенных для оказания услуг в сферах </w:t>
      </w:r>
      <w:r>
        <w:rPr>
          <w:sz w:val="28"/>
        </w:rPr>
        <w:t>электро</w:t>
      </w:r>
      <w:r>
        <w:rPr>
          <w:sz w:val="28"/>
        </w:rPr>
        <w:t xml:space="preserve"> -, газо-, тепло-, водоснабжения и водоотведения до точек подключения (технологического присоединения) к инженерным системам </w:t>
      </w:r>
      <w:r>
        <w:rPr>
          <w:sz w:val="28"/>
        </w:rPr>
        <w:t>электро</w:t>
      </w:r>
      <w:r>
        <w:rPr>
          <w:sz w:val="28"/>
        </w:rPr>
        <w:t xml:space="preserve"> -, газо-, тепло-, водоснабжения и водоотведения объектов капитального строительства.</w:t>
      </w:r>
    </w:p>
    <w:p w14:paraId="11000000">
      <w:pPr>
        <w:tabs>
          <w:tab w:leader="none" w:pos="5812" w:val="left"/>
          <w:tab w:leader="none" w:pos="6096" w:val="left"/>
          <w:tab w:leader="none" w:pos="6521" w:val="left"/>
          <w:tab w:leader="none" w:pos="6804" w:val="left"/>
          <w:tab w:leader="none" w:pos="9639" w:val="left"/>
          <w:tab w:leader="none" w:pos="9781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 xml:space="preserve">В силу пункта 4 части 1 статьи 16 Федерального закона № 131-ФЗ «Об общих принципах организации местного самоуправления в Российской </w:t>
      </w:r>
      <w:r>
        <w:rPr>
          <w:sz w:val="28"/>
        </w:rPr>
        <w:t>Федерации» к вопросам местного значения муниципального округа относятся электро-, тепло-, газо- и водоснабжение населения, водоотведения, снабжения населения топливом в пределах полномочий, установленных законодательством Российской Федерации (далее – Федерального закона      № 131-ФЗ).</w:t>
      </w:r>
    </w:p>
    <w:p w14:paraId="12000000">
      <w:pPr>
        <w:tabs>
          <w:tab w:leader="none" w:pos="5812" w:val="left"/>
          <w:tab w:leader="none" w:pos="6096" w:val="left"/>
          <w:tab w:leader="none" w:pos="6521" w:val="left"/>
          <w:tab w:leader="none" w:pos="6804" w:val="left"/>
          <w:tab w:leader="none" w:pos="9639" w:val="left"/>
          <w:tab w:leader="none" w:pos="9781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>Пунктом 5 части 1 статьи 16 Федерального закона № 131-ФЗ  установлено, что к вопросам местного значения муниципального округа относится дорожная деятельность в отношении автомобильных дорог местного значения вне границ населенных пунктов в границах муниципального района, осуществление муниципального контроля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округа, организация дорожного движения и обеспечение безопасности дорожного движения на них,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Федерации.</w:t>
      </w:r>
    </w:p>
    <w:p w14:paraId="13000000">
      <w:pPr>
        <w:tabs>
          <w:tab w:leader="none" w:pos="5812" w:val="left"/>
          <w:tab w:leader="none" w:pos="6096" w:val="left"/>
          <w:tab w:leader="none" w:pos="6521" w:val="left"/>
          <w:tab w:leader="none" w:pos="6804" w:val="left"/>
          <w:tab w:leader="none" w:pos="9639" w:val="left"/>
          <w:tab w:leader="none" w:pos="9781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 xml:space="preserve">Согласно пункту 3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дорожная деятельность включает в себя, в том числе проектирование, строительство и содержание автомобильных дорог. </w:t>
      </w:r>
    </w:p>
    <w:p w14:paraId="14000000">
      <w:pPr>
        <w:tabs>
          <w:tab w:leader="none" w:pos="5812" w:val="left"/>
          <w:tab w:leader="none" w:pos="6096" w:val="left"/>
          <w:tab w:leader="none" w:pos="6521" w:val="left"/>
          <w:tab w:leader="none" w:pos="6804" w:val="left"/>
          <w:tab w:leader="none" w:pos="9639" w:val="left"/>
          <w:tab w:leader="none" w:pos="9781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>Следовательно, обязанность по обеспечению объектами инфраструктуры земельных участков в целях предоставления на безвозмездной основе для индивидуального жилищного строительства гражданам, имеющим трех и более детей, подлежит исполнению муниципальным образованием в порядке решения вопросов местного значения.</w:t>
      </w:r>
    </w:p>
    <w:p w14:paraId="15000000">
      <w:pPr>
        <w:tabs>
          <w:tab w:leader="none" w:pos="5812" w:val="left"/>
          <w:tab w:leader="none" w:pos="6096" w:val="left"/>
          <w:tab w:leader="none" w:pos="6521" w:val="left"/>
          <w:tab w:leader="none" w:pos="6804" w:val="left"/>
          <w:tab w:leader="none" w:pos="9639" w:val="left"/>
          <w:tab w:leader="none" w:pos="9781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 xml:space="preserve">В соответствии с пунктом 6 части 1 статьи 10 Устава, к вопросам местного значения </w:t>
      </w:r>
      <w:r>
        <w:rPr>
          <w:sz w:val="28"/>
        </w:rPr>
        <w:t>Становлянского</w:t>
      </w:r>
      <w:r>
        <w:rPr>
          <w:sz w:val="28"/>
        </w:rPr>
        <w:t xml:space="preserve"> округа относится дорожная деятельность в отношении автомобильных дорог местного значения в границах </w:t>
      </w:r>
      <w:r>
        <w:rPr>
          <w:sz w:val="28"/>
        </w:rPr>
        <w:t>Становлянского</w:t>
      </w:r>
      <w:r>
        <w:rPr>
          <w:sz w:val="28"/>
        </w:rPr>
        <w:t xml:space="preserve"> округа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на автомобильном транспорте, городском наземном электрическом транспорте и в дорожном хозяйстве в границах </w:t>
      </w:r>
      <w:r>
        <w:rPr>
          <w:sz w:val="28"/>
        </w:rPr>
        <w:t>Становлянского</w:t>
      </w:r>
      <w:r>
        <w:rPr>
          <w:sz w:val="28"/>
        </w:rPr>
        <w:t xml:space="preserve"> округа, организация дорожного движения, а также осуществление иных полномочий в области использования дорог и осуществления дорожной деятельности в соответствии с законодательством Российской Федерации.</w:t>
      </w:r>
    </w:p>
    <w:p w14:paraId="16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В силу пункта 4 части 1 статьи 10 Устава, к вопросам местного значения </w:t>
      </w:r>
      <w:r>
        <w:rPr>
          <w:sz w:val="28"/>
        </w:rPr>
        <w:t>Становлянского</w:t>
      </w:r>
      <w:r>
        <w:rPr>
          <w:sz w:val="28"/>
        </w:rPr>
        <w:t xml:space="preserve"> округа относится организация в границах </w:t>
      </w:r>
      <w:r>
        <w:rPr>
          <w:sz w:val="28"/>
        </w:rPr>
        <w:t>Становлянского</w:t>
      </w:r>
      <w:r>
        <w:rPr>
          <w:sz w:val="28"/>
        </w:rPr>
        <w:t xml:space="preserve"> округа, в том числе водоснабжения населения.</w:t>
      </w:r>
      <w:r>
        <w:rPr>
          <w:sz w:val="28"/>
        </w:rPr>
        <w:t xml:space="preserve"> </w:t>
      </w:r>
      <w:r>
        <w:rPr>
          <w:sz w:val="28"/>
        </w:rPr>
        <w:t xml:space="preserve">    </w:t>
      </w:r>
    </w:p>
    <w:p w14:paraId="17000000">
      <w:pPr>
        <w:ind w:firstLine="540" w:left="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Вместе с тем, как показала проверка до настоящего времени администрация Становлянского муниципального округа не обеспечила необходимой транспортной и инженерной в части водоснабжения инфраструктурой земельные участки 8 многодетных семей в с. Тростное.</w:t>
      </w:r>
    </w:p>
    <w:p w14:paraId="18000000">
      <w:pPr>
        <w:ind w:right="0"/>
        <w:jc w:val="both"/>
        <w:rPr>
          <w:sz w:val="28"/>
        </w:rPr>
      </w:pPr>
      <w:r>
        <w:rPr>
          <w:sz w:val="28"/>
        </w:rPr>
        <w:t xml:space="preserve">  Отмеченные нарушения являются существенными и требуют незамедлительного устранения, поскольку препятствуют реализации прав</w:t>
      </w:r>
      <w:r>
        <w:rPr>
          <w:sz w:val="28"/>
        </w:rPr>
        <w:t>а</w:t>
      </w:r>
      <w:r>
        <w:rPr>
          <w:sz w:val="28"/>
        </w:rPr>
        <w:t xml:space="preserve"> многодетных семей </w:t>
      </w:r>
      <w:r>
        <w:rPr>
          <w:sz w:val="28"/>
        </w:rPr>
        <w:t xml:space="preserve"> </w:t>
      </w:r>
      <w:r>
        <w:rPr>
          <w:sz w:val="28"/>
        </w:rPr>
        <w:t xml:space="preserve">на получение земельного участка, а также </w:t>
      </w:r>
      <w:r>
        <w:rPr>
          <w:sz w:val="28"/>
        </w:rPr>
        <w:t>создают дополнительные обременения, связанные со строительством автодороги и инженерной инфраструктуры.</w:t>
      </w:r>
    </w:p>
    <w:p w14:paraId="19000000">
      <w:pPr>
        <w:ind w:right="0"/>
        <w:jc w:val="both"/>
        <w:rPr>
          <w:sz w:val="28"/>
        </w:rPr>
      </w:pPr>
      <w:r>
        <w:rPr>
          <w:sz w:val="28"/>
        </w:rPr>
        <w:t xml:space="preserve">    По результатам проверки прокурором района главе администрации Становлянского округа внесено представление об устранении нарушений земельного законодательства.</w:t>
      </w:r>
    </w:p>
    <w:p w14:paraId="1A000000">
      <w:pPr>
        <w:ind w:right="0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</w:p>
    <w:p w14:paraId="1B000000">
      <w:pPr>
        <w:ind w:right="-1333"/>
        <w:jc w:val="both"/>
        <w:rPr>
          <w:sz w:val="28"/>
        </w:rPr>
      </w:pPr>
    </w:p>
    <w:p w14:paraId="1C000000">
      <w:pPr>
        <w:spacing w:line="240" w:lineRule="exact"/>
        <w:ind w:right="-1333"/>
        <w:jc w:val="both"/>
        <w:rPr>
          <w:sz w:val="28"/>
        </w:rPr>
      </w:pPr>
      <w:r>
        <w:rPr>
          <w:sz w:val="28"/>
        </w:rPr>
        <w:t xml:space="preserve">Помощник прокурора района </w:t>
      </w:r>
    </w:p>
    <w:p w14:paraId="1D000000">
      <w:pPr>
        <w:spacing w:line="240" w:lineRule="exact"/>
        <w:ind w:right="-1333"/>
        <w:jc w:val="both"/>
        <w:rPr>
          <w:sz w:val="28"/>
        </w:rPr>
      </w:pPr>
    </w:p>
    <w:p w14:paraId="1E000000">
      <w:pPr>
        <w:spacing w:line="240" w:lineRule="exact"/>
        <w:ind w:right="-1333"/>
        <w:jc w:val="both"/>
        <w:rPr>
          <w:sz w:val="28"/>
        </w:rPr>
      </w:pPr>
      <w:r>
        <w:rPr>
          <w:sz w:val="28"/>
        </w:rPr>
        <w:t xml:space="preserve">юрист 1 класса                                                                                  А.В. Герасимов  </w:t>
      </w:r>
      <w:r>
        <w:rPr>
          <w:sz w:val="28"/>
        </w:rPr>
        <w:t xml:space="preserve"> </w:t>
      </w:r>
    </w:p>
    <w:sectPr>
      <w:pgSz w:h="16838" w:orient="portrait" w:w="11906"/>
      <w:pgMar w:bottom="719" w:footer="720" w:gutter="0" w:header="720" w:left="1800" w:right="610" w:top="71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Balloon Text"/>
    <w:basedOn w:val="Style_2"/>
    <w:link w:val="Style_5_ch"/>
    <w:rPr>
      <w:rFonts w:ascii="Tahoma" w:hAnsi="Tahoma"/>
      <w:sz w:val="16"/>
    </w:rPr>
  </w:style>
  <w:style w:styleId="Style_5_ch" w:type="character">
    <w:name w:val="Balloon Text"/>
    <w:basedOn w:val="Style_2_ch"/>
    <w:link w:val="Style_5"/>
    <w:rPr>
      <w:rFonts w:ascii="Tahoma" w:hAnsi="Tahoma"/>
      <w:sz w:val="16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Заголовок статьи"/>
    <w:basedOn w:val="Style_2"/>
    <w:next w:val="Style_2"/>
    <w:link w:val="Style_10_ch"/>
    <w:pPr>
      <w:ind w:hanging="892" w:left="1612"/>
      <w:jc w:val="both"/>
    </w:pPr>
    <w:rPr>
      <w:rFonts w:ascii="Arial" w:hAnsi="Arial"/>
    </w:rPr>
  </w:style>
  <w:style w:styleId="Style_10_ch" w:type="character">
    <w:name w:val="Заголовок статьи"/>
    <w:basedOn w:val="Style_2_ch"/>
    <w:link w:val="Style_10"/>
    <w:rPr>
      <w:rFonts w:ascii="Arial" w:hAnsi="Arial"/>
    </w:rPr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Цветовое выделение"/>
    <w:link w:val="Style_19_ch"/>
    <w:rPr>
      <w:b w:val="1"/>
      <w:color w:val="26282F"/>
    </w:rPr>
  </w:style>
  <w:style w:styleId="Style_19_ch" w:type="character">
    <w:name w:val="Цветовое выделение"/>
    <w:link w:val="Style_19"/>
    <w:rPr>
      <w:b w:val="1"/>
      <w:color w:val="26282F"/>
    </w:rPr>
  </w:style>
  <w:style w:styleId="Style_20" w:type="paragraph">
    <w:name w:val="toc 8"/>
    <w:next w:val="Style_2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2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2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2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2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2025-11-11T15:50:11Z</dcterms:modified>
</cp:coreProperties>
</file>