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333"/>
        <w:jc w:val="center"/>
        <w:rPr>
          <w:b w:val="1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</w:t>
      </w:r>
      <w:r>
        <w:rPr>
          <w:b w:val="1"/>
          <w:sz w:val="28"/>
        </w:rPr>
        <w:t xml:space="preserve">ПРОКУРАТУРА </w:t>
      </w:r>
    </w:p>
    <w:p w14:paraId="02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>СТАНОВЛЯНСКОГО РАЙОНА</w:t>
      </w:r>
    </w:p>
    <w:p w14:paraId="03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ИНФОРМИРУЕТ </w:t>
      </w:r>
    </w:p>
    <w:p w14:paraId="04000000">
      <w:pPr>
        <w:ind w:right="-1333"/>
        <w:jc w:val="both"/>
        <w:rPr>
          <w:sz w:val="28"/>
        </w:rPr>
      </w:pPr>
    </w:p>
    <w:p w14:paraId="05000000">
      <w:pPr>
        <w:ind w:right="-1333"/>
        <w:jc w:val="both"/>
        <w:rPr>
          <w:sz w:val="28"/>
        </w:rPr>
      </w:pPr>
      <w:r>
        <w:rPr>
          <w:sz w:val="28"/>
        </w:rPr>
        <w:t xml:space="preserve">11 ноября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</w:t>
      </w:r>
    </w:p>
    <w:p w14:paraId="06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</w:t>
      </w:r>
    </w:p>
    <w:p w14:paraId="07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«Проверка законодательства о предупреждении </w:t>
      </w:r>
    </w:p>
    <w:p w14:paraId="08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           распространения туберкулеза»</w:t>
      </w:r>
      <w:r>
        <w:rPr>
          <w:sz w:val="28"/>
        </w:rPr>
        <w:t xml:space="preserve"> </w:t>
      </w:r>
    </w:p>
    <w:p w14:paraId="09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      </w:t>
      </w:r>
    </w:p>
    <w:p w14:paraId="0A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>Прокуратурой Становлянского района</w:t>
      </w:r>
      <w:r>
        <w:rPr>
          <w:sz w:val="28"/>
        </w:rPr>
        <w:t xml:space="preserve"> </w:t>
      </w:r>
      <w:r>
        <w:rPr>
          <w:sz w:val="28"/>
        </w:rPr>
        <w:t>проведена проверка исполнения законодательства о предупреждении распространения туберкулеза в Российской Федерации.</w:t>
      </w:r>
    </w:p>
    <w:p w14:paraId="0B000000">
      <w:pPr>
        <w:ind w:firstLine="709" w:left="0" w:right="-19"/>
        <w:jc w:val="both"/>
        <w:rPr>
          <w:sz w:val="28"/>
        </w:rPr>
      </w:pPr>
      <w:r>
        <w:rPr>
          <w:sz w:val="28"/>
        </w:rPr>
        <w:t>В соответствии со статьей 41 Конституции Российской Федерации каждый имеет право на охрану жизни.</w:t>
      </w:r>
    </w:p>
    <w:p w14:paraId="0C000000">
      <w:pPr>
        <w:ind w:firstLine="709" w:left="0" w:right="-19"/>
        <w:jc w:val="both"/>
        <w:rPr>
          <w:sz w:val="28"/>
        </w:rPr>
      </w:pPr>
      <w:r>
        <w:rPr>
          <w:sz w:val="28"/>
        </w:rPr>
        <w:t>В соответствии со статьей 2 Федерального закона от 21.11.2011 №323-ФЗ «Об охране здоровья граждан Российской Федерации» (далее – ФЗ №323-ФЗ) охрана здоровья граждан (далее -</w:t>
      </w:r>
      <w:r>
        <w:rPr>
          <w:sz w:val="28"/>
        </w:rPr>
        <w:t xml:space="preserve"> </w:t>
      </w:r>
      <w:r>
        <w:rPr>
          <w:sz w:val="28"/>
        </w:rPr>
        <w:t>охрана здоровья) – система мер политического, экономического, правового, социального, научного, медицинского, в том числе санитарно -</w:t>
      </w:r>
      <w:r>
        <w:rPr>
          <w:sz w:val="28"/>
        </w:rPr>
        <w:t xml:space="preserve"> </w:t>
      </w:r>
      <w:r>
        <w:rPr>
          <w:sz w:val="28"/>
        </w:rPr>
        <w:t xml:space="preserve">противоэпидемического </w:t>
      </w:r>
      <w:r>
        <w:rPr>
          <w:sz w:val="28"/>
        </w:rPr>
        <w:t>(</w:t>
      </w:r>
      <w:r>
        <w:rPr>
          <w:sz w:val="28"/>
        </w:rPr>
        <w:t>профилактического) характера, осуществляемых органами государственной власти Российской Федерации, органами государственной власти су</w:t>
      </w:r>
      <w:r>
        <w:rPr>
          <w:sz w:val="28"/>
        </w:rPr>
        <w:t>бъектов Российской Федерации, органами местного самоуправления, организациями, их должностными лицами и иными лицами, гражданами в целях профилактики заболеваний, сохранения и укрепления физического и психического здоровья каждого человека, поддержания его долголетней активной жизни, предоставления ему медицинской помощи.</w:t>
      </w:r>
    </w:p>
    <w:p w14:paraId="0D000000">
      <w:pPr>
        <w:ind w:right="-19"/>
        <w:jc w:val="both"/>
        <w:rPr>
          <w:sz w:val="28"/>
        </w:rPr>
      </w:pPr>
      <w:r>
        <w:rPr>
          <w:sz w:val="28"/>
        </w:rPr>
        <w:t xml:space="preserve">      Согласно пункту 8 статьи 4 ФЗ №323-ФЗ одним из принципов охраны здоровья граждан является принцип приоритета профилактических мер в области охраны здоровья граждан.</w:t>
      </w:r>
    </w:p>
    <w:p w14:paraId="0E000000">
      <w:pPr>
        <w:ind w:right="-19"/>
        <w:jc w:val="both"/>
        <w:rPr>
          <w:sz w:val="28"/>
        </w:rPr>
      </w:pPr>
      <w:r>
        <w:rPr>
          <w:sz w:val="28"/>
        </w:rPr>
        <w:t xml:space="preserve">       Одним из направлений деятельности государственной политики в области профилактики охраны здоровья граждан и обеспечения санитарно – эпидемиологического благополучия населения является предупреждение распространения туберкулеза в Российской Федерации.</w:t>
      </w:r>
    </w:p>
    <w:p w14:paraId="0F000000">
      <w:pPr>
        <w:ind w:firstLine="101" w:left="0" w:right="28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Основы профилактики туберкулеза в Российской Федерации установлены Федеральным законом от 18.06.2001 77-ФЗ «О предупреждении распространения туберкулёза в Российской Федерации».</w:t>
      </w:r>
    </w:p>
    <w:p w14:paraId="10000000">
      <w:pPr>
        <w:spacing w:after="34"/>
        <w:ind w:right="28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В соответствии со статьей 8 вышеназванного Федерального закона в целях выявления туберкулеза периодически проводятся профилактические медицинские осмотры граждан, порядок и сроки проведения которых устанавливаются уполномоченным Правительством Российской Федерации федеральным органом исполнительной власти.</w:t>
      </w:r>
    </w:p>
    <w:p w14:paraId="11000000">
      <w:pPr>
        <w:ind w:firstLine="0" w:left="14" w:right="28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Порядок и сроки проведения профилактических медицинских осмотров населения в целях выявления туберкулеза установлены Приказом Министерства здравоохранения РФ от 21.03.2017 </w:t>
      </w:r>
      <w:r>
        <w:rPr>
          <w:sz w:val="28"/>
        </w:rPr>
        <w:t>№</w:t>
      </w:r>
      <w:r>
        <w:rPr>
          <w:sz w:val="28"/>
        </w:rPr>
        <w:t xml:space="preserve"> 124н </w:t>
      </w:r>
      <w:r>
        <w:rPr>
          <w:sz w:val="28"/>
        </w:rPr>
        <w:t xml:space="preserve"> </w:t>
      </w:r>
      <w:r>
        <w:rPr>
          <w:sz w:val="28"/>
        </w:rPr>
        <w:t>«Об утверждении порядка и сроков проведения профилактических медицинских осмотров граждан в целях выявления туберкулеза» (далее — Приказ).</w:t>
      </w:r>
    </w:p>
    <w:p w14:paraId="12000000">
      <w:pPr>
        <w:ind w:firstLine="0" w:left="14" w:right="28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Статьей 2 Приказа предусмотрено, что профилактические осмотры </w:t>
      </w:r>
      <w:r>
        <w:rPr>
          <w:sz w:val="28"/>
        </w:rPr>
        <w:t>г</w:t>
      </w:r>
      <w:r>
        <w:rPr>
          <w:sz w:val="28"/>
        </w:rPr>
        <w:t xml:space="preserve">раждан проводятся в медицинских организациях по месту жительства, работы, службы, учебы, по месту отбывания наказания в виде лишения свободы, </w:t>
      </w:r>
      <w:r>
        <w:rPr>
          <w:sz w:val="28"/>
        </w:rPr>
        <w:t>в</w:t>
      </w:r>
      <w:r>
        <w:rPr>
          <w:sz w:val="28"/>
        </w:rPr>
        <w:t xml:space="preserve"> местах содержания под стражей.</w:t>
      </w:r>
    </w:p>
    <w:p w14:paraId="13000000">
      <w:pPr>
        <w:ind w:firstLine="0" w:left="14" w:right="28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Профилактические осмотры представляют собой комплекс медицинск</w:t>
      </w:r>
      <w:r>
        <w:rPr>
          <w:sz w:val="28"/>
        </w:rPr>
        <w:t>их</w:t>
      </w:r>
      <w:r>
        <w:rPr>
          <w:sz w:val="28"/>
        </w:rPr>
        <w:t xml:space="preserve"> вмешательств, направленных на выявление патологических состояний</w:t>
      </w:r>
      <w:r>
        <w:rPr>
          <w:sz w:val="28"/>
        </w:rPr>
        <w:t>,</w:t>
      </w:r>
      <w:r>
        <w:rPr>
          <w:sz w:val="28"/>
        </w:rPr>
        <w:t xml:space="preserve"> свидетельствующих о н</w:t>
      </w:r>
      <w:r>
        <w:rPr>
          <w:sz w:val="28"/>
        </w:rPr>
        <w:t>аличии</w:t>
      </w:r>
      <w:r>
        <w:rPr>
          <w:sz w:val="28"/>
        </w:rPr>
        <w:t xml:space="preserve"> туберкулеза, с применением методов обследования в зависимости от возраста, определенных пунктом 8 </w:t>
      </w:r>
      <w:r>
        <w:rPr>
          <w:sz w:val="28"/>
        </w:rPr>
        <w:drawing>
          <wp:inline>
            <wp:extent cx="8890" cy="889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890" cy="889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вышеназванного приказа, в частности взрослые проходят флюорографию легких или рентгенографию органов грудной клетки (легких).</w:t>
      </w:r>
    </w:p>
    <w:p w14:paraId="14000000">
      <w:pPr>
        <w:ind w:firstLine="0" w:left="14" w:right="28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>Согласно приложению к Приказу, лица, состоящие на диспансерно</w:t>
      </w:r>
      <w:r>
        <w:rPr>
          <w:sz w:val="28"/>
        </w:rPr>
        <w:t>м</w:t>
      </w:r>
      <w:r>
        <w:rPr>
          <w:sz w:val="28"/>
        </w:rPr>
        <w:t xml:space="preserve"> наблюдении (в том числе профилактическом наблюдении) в наркологических </w:t>
      </w:r>
      <w:r>
        <w:rPr>
          <w:sz w:val="28"/>
        </w:rPr>
        <w:t xml:space="preserve">и </w:t>
      </w:r>
      <w:r>
        <w:rPr>
          <w:sz w:val="28"/>
        </w:rPr>
        <w:t>психиатрических специализированных медицинских организациях, подлежат профилактическим медицинским осмотрам в целях выявления туберкулеза 2 раза в год.</w:t>
      </w:r>
    </w:p>
    <w:p w14:paraId="15000000">
      <w:pPr>
        <w:ind w:firstLine="0" w:left="14" w:right="28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Согласно пункту 3 Порядка диспансерного наблюдения за лицами </w:t>
      </w:r>
      <w:r>
        <w:rPr>
          <w:sz w:val="28"/>
        </w:rPr>
        <w:t xml:space="preserve">с </w:t>
      </w:r>
      <w:r>
        <w:rPr>
          <w:sz w:val="28"/>
        </w:rPr>
        <w:t>психическими расстройствами и (или) расстройствами поведения, связанным с употреблением психоактивных веществ, являющегося Приложением 2 к приказу Министерства здравоохранения Российской Федерации от 30.12.2015</w:t>
      </w:r>
      <w:r>
        <w:rPr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 xml:space="preserve">1034н, диспансерное наблюдение проводится в медицинских организациях, имеющих лицензию на медицинскую деятельность по </w:t>
      </w:r>
      <w:r>
        <w:rPr>
          <w:sz w:val="28"/>
        </w:rPr>
        <w:t>оказанию услуг (выполнению работ) по «психиатрии -</w:t>
      </w:r>
      <w:r>
        <w:rPr>
          <w:sz w:val="28"/>
        </w:rPr>
        <w:t xml:space="preserve"> </w:t>
      </w:r>
      <w:r>
        <w:rPr>
          <w:sz w:val="28"/>
        </w:rPr>
        <w:t>наркологии», по месту жительства или месту пребывания пациентов с учетом права пациента на выбор медицинской орга</w:t>
      </w:r>
      <w:r>
        <w:rPr>
          <w:sz w:val="28"/>
        </w:rPr>
        <w:t>низации.</w:t>
      </w:r>
    </w:p>
    <w:p w14:paraId="16000000">
      <w:pPr>
        <w:ind w:firstLine="0" w:left="14" w:right="28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>Правилами организации деятельности кабинета врача-психиатра</w:t>
      </w:r>
      <w:r>
        <w:rPr>
          <w:sz w:val="28"/>
        </w:rPr>
        <w:t>-</w:t>
      </w:r>
      <w:r>
        <w:rPr>
          <w:sz w:val="28"/>
        </w:rPr>
        <w:t>нарколога и кабинета врача</w:t>
      </w:r>
      <w:r>
        <w:rPr>
          <w:sz w:val="28"/>
        </w:rPr>
        <w:t>-</w:t>
      </w:r>
      <w:r>
        <w:rPr>
          <w:sz w:val="28"/>
        </w:rPr>
        <w:t xml:space="preserve">психиатра-нарколога участкового, являющимися приложением </w:t>
      </w:r>
      <w:r>
        <w:rPr>
          <w:sz w:val="28"/>
        </w:rPr>
        <w:t>№</w:t>
      </w:r>
      <w:r>
        <w:rPr>
          <w:sz w:val="28"/>
        </w:rPr>
        <w:t>4 к Порядку оказания медицинской помощи по профилю «психиатрия-</w:t>
      </w:r>
      <w:r>
        <w:rPr>
          <w:sz w:val="28"/>
        </w:rPr>
        <w:t>н</w:t>
      </w:r>
      <w:r>
        <w:rPr>
          <w:sz w:val="28"/>
        </w:rPr>
        <w:t xml:space="preserve">аркология», утвержденному приказом Министерства здравоохранения Российской Федерации от 30.12.2015 </w:t>
      </w:r>
      <w:r>
        <w:rPr>
          <w:sz w:val="28"/>
        </w:rPr>
        <w:t>№</w:t>
      </w:r>
      <w:r>
        <w:rPr>
          <w:sz w:val="28"/>
        </w:rPr>
        <w:t>1034н, кабинет врача-психиатра-нарколога создается для оказания медицинской помощи по</w:t>
      </w:r>
      <w:r>
        <w:rPr>
          <w:sz w:val="28"/>
        </w:rPr>
        <w:t xml:space="preserve"> п</w:t>
      </w:r>
      <w:r>
        <w:rPr>
          <w:sz w:val="28"/>
        </w:rPr>
        <w:t>рофилю «психиатрия-наркология» в амбулаторных условиях, является структурным подразделением медицинской организации, к функциям кабинета относится диспансерное наблюдение за лицами с наркологическими расстройствами (пункты 2,3,7).</w:t>
      </w:r>
    </w:p>
    <w:p w14:paraId="17000000">
      <w:pPr>
        <w:ind w:firstLine="0" w:left="14" w:right="28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В ходе проведения проверки установлено, что 6 лиц</w:t>
      </w:r>
      <w:r>
        <w:rPr>
          <w:sz w:val="28"/>
        </w:rPr>
        <w:t xml:space="preserve"> состоят на диспансерном наблюдении в кабинете врача</w:t>
      </w:r>
      <w:r>
        <w:rPr>
          <w:sz w:val="28"/>
        </w:rPr>
        <w:t xml:space="preserve"> </w:t>
      </w:r>
      <w:r>
        <w:rPr>
          <w:sz w:val="28"/>
        </w:rPr>
        <w:t>психиатра-нарколога, являющегося структурным подразделением ГУЗ «</w:t>
      </w:r>
      <w:r>
        <w:rPr>
          <w:sz w:val="28"/>
        </w:rPr>
        <w:t>Становлянская РБ</w:t>
      </w:r>
      <w:r>
        <w:rPr>
          <w:sz w:val="28"/>
        </w:rPr>
        <w:t>»</w:t>
      </w:r>
      <w:r>
        <w:rPr>
          <w:sz w:val="28"/>
        </w:rPr>
        <w:t xml:space="preserve">, осуществляющим деятельность в сфере «психиатрии-наркологии» в соответствии с лицензией </w:t>
      </w:r>
      <w:r>
        <w:rPr>
          <w:sz w:val="28"/>
        </w:rPr>
        <w:t>№ЛО-48-01-002194 от 14.12.2020</w:t>
      </w:r>
      <w:r>
        <w:rPr>
          <w:sz w:val="28"/>
        </w:rPr>
        <w:t>.</w:t>
      </w:r>
    </w:p>
    <w:p w14:paraId="18000000">
      <w:pPr>
        <w:ind w:firstLine="0" w:left="14" w:right="28"/>
        <w:jc w:val="both"/>
        <w:rPr>
          <w:sz w:val="28"/>
        </w:rPr>
      </w:pPr>
      <w:r>
        <w:rPr>
          <w:sz w:val="28"/>
        </w:rPr>
        <w:t xml:space="preserve">   Данные граждане не соблюдают</w:t>
      </w:r>
      <w:r>
        <w:rPr>
          <w:sz w:val="28"/>
        </w:rPr>
        <w:t xml:space="preserve"> периодичность прохождения профилактического медицинского осмотра в целях выявления туберкулеза</w:t>
      </w:r>
      <w:r>
        <w:rPr>
          <w:sz w:val="28"/>
        </w:rPr>
        <w:t>, флюорографическое обследование</w:t>
      </w:r>
      <w:r>
        <w:rPr>
          <w:sz w:val="28"/>
        </w:rPr>
        <w:t>.</w:t>
      </w:r>
    </w:p>
    <w:p w14:paraId="19000000">
      <w:pPr>
        <w:ind w:firstLine="0" w:left="14" w:right="28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>Указанное свидетельствует о неисполнении ими</w:t>
      </w:r>
      <w:r>
        <w:rPr>
          <w:sz w:val="28"/>
        </w:rPr>
        <w:t xml:space="preserve"> законодательства о предупреждении распространения туберкулеза, что в сво</w:t>
      </w:r>
      <w:r>
        <w:rPr>
          <w:sz w:val="28"/>
        </w:rPr>
        <w:t>ю</w:t>
      </w:r>
      <w:r>
        <w:rPr>
          <w:sz w:val="28"/>
        </w:rPr>
        <w:t xml:space="preserve"> очередь создает у</w:t>
      </w:r>
      <w:r>
        <w:rPr>
          <w:sz w:val="28"/>
        </w:rPr>
        <w:t>г</w:t>
      </w:r>
      <w:r>
        <w:rPr>
          <w:sz w:val="28"/>
        </w:rPr>
        <w:t xml:space="preserve">розу здоровья граждан </w:t>
      </w:r>
      <w:r>
        <w:rPr>
          <w:sz w:val="28"/>
        </w:rPr>
        <w:t>Становлянского округа</w:t>
      </w:r>
      <w:r>
        <w:rPr>
          <w:sz w:val="28"/>
        </w:rPr>
        <w:t xml:space="preserve"> и Российской Федерации в целом.</w:t>
      </w:r>
    </w:p>
    <w:p w14:paraId="1A000000">
      <w:pPr>
        <w:ind w:firstLine="0" w:left="14" w:right="28"/>
        <w:jc w:val="both"/>
        <w:rPr>
          <w:sz w:val="28"/>
        </w:rPr>
      </w:pPr>
      <w:r>
        <w:rPr>
          <w:sz w:val="28"/>
        </w:rPr>
        <w:t xml:space="preserve">    По результатам проверки прокурором района в Становлянский районный суд направлено 6 исковых заявлений об</w:t>
      </w:r>
      <w:r>
        <w:rPr>
          <w:sz w:val="28"/>
        </w:rPr>
        <w:t xml:space="preserve"> о</w:t>
      </w:r>
      <w:r>
        <w:rPr>
          <w:sz w:val="28"/>
        </w:rPr>
        <w:t xml:space="preserve">бязании </w:t>
      </w:r>
      <w:r>
        <w:rPr>
          <w:sz w:val="28"/>
        </w:rPr>
        <w:t xml:space="preserve"> данных граждан </w:t>
      </w:r>
      <w:r>
        <w:rPr>
          <w:sz w:val="28"/>
        </w:rPr>
        <w:t xml:space="preserve">пройти в целях выявления туберкулёза профилактический медицинский осмотр в течение </w:t>
      </w:r>
      <w:r>
        <w:rPr>
          <w:sz w:val="28"/>
        </w:rPr>
        <w:drawing>
          <wp:inline>
            <wp:extent cx="18415" cy="18415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18415" cy="1841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месяца со дня вступления решения суда в законную силу.</w:t>
      </w:r>
    </w:p>
    <w:p w14:paraId="1B000000">
      <w:pPr>
        <w:ind w:right="0"/>
        <w:jc w:val="both"/>
        <w:rPr>
          <w:sz w:val="28"/>
        </w:rPr>
      </w:pPr>
      <w:r>
        <w:rPr>
          <w:sz w:val="28"/>
        </w:rPr>
        <w:t xml:space="preserve">          Исковые заявления рассмотрены судом и удовлетворены. </w:t>
      </w:r>
    </w:p>
    <w:p w14:paraId="1C000000">
      <w:pPr>
        <w:ind w:right="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</w:p>
    <w:p w14:paraId="1D000000">
      <w:pPr>
        <w:ind w:right="-1333"/>
        <w:jc w:val="both"/>
        <w:rPr>
          <w:sz w:val="28"/>
        </w:rPr>
      </w:pPr>
    </w:p>
    <w:p w14:paraId="1E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Ст. помощник прокурора района </w:t>
      </w:r>
    </w:p>
    <w:p w14:paraId="1F000000">
      <w:pPr>
        <w:spacing w:line="240" w:lineRule="exact"/>
        <w:ind w:right="-1333"/>
        <w:jc w:val="both"/>
        <w:rPr>
          <w:sz w:val="28"/>
        </w:rPr>
      </w:pPr>
    </w:p>
    <w:p w14:paraId="20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младший советник юстиции                                                             Е.И. Малютина   </w:t>
      </w:r>
      <w:r>
        <w:rPr>
          <w:sz w:val="28"/>
        </w:rPr>
        <w:t xml:space="preserve"> </w:t>
      </w:r>
    </w:p>
    <w:sectPr>
      <w:pgSz w:h="16838" w:orient="portrait" w:w="11906"/>
      <w:pgMar w:bottom="719" w:footer="720" w:gutter="0" w:header="720" w:left="1800" w:right="61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Заголовок статьи"/>
    <w:basedOn w:val="Style_1"/>
    <w:next w:val="Style_1"/>
    <w:link w:val="Style_8_ch"/>
    <w:pPr>
      <w:ind w:hanging="892" w:left="1612"/>
      <w:jc w:val="both"/>
    </w:pPr>
    <w:rPr>
      <w:rFonts w:ascii="Arial" w:hAnsi="Arial"/>
    </w:rPr>
  </w:style>
  <w:style w:styleId="Style_8_ch" w:type="character">
    <w:name w:val="Заголовок статьи"/>
    <w:basedOn w:val="Style_1_ch"/>
    <w:link w:val="Style_8"/>
    <w:rPr>
      <w:rFonts w:ascii="Arial" w:hAnsi="Arial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Цветовое выделение"/>
    <w:link w:val="Style_11_ch"/>
    <w:rPr>
      <w:b w:val="1"/>
      <w:color w:val="26282F"/>
    </w:rPr>
  </w:style>
  <w:style w:styleId="Style_11_ch" w:type="character">
    <w:name w:val="Цветовое выделение"/>
    <w:link w:val="Style_11"/>
    <w:rPr>
      <w:b w:val="1"/>
      <w:color w:val="26282F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Balloon Text"/>
    <w:basedOn w:val="Style_1"/>
    <w:link w:val="Style_19_ch"/>
    <w:rPr>
      <w:rFonts w:ascii="Tahoma" w:hAnsi="Tahoma"/>
      <w:sz w:val="16"/>
    </w:rPr>
  </w:style>
  <w:style w:styleId="Style_19_ch" w:type="character">
    <w:name w:val="Balloon Text"/>
    <w:basedOn w:val="Style_1_ch"/>
    <w:link w:val="Style_19"/>
    <w:rPr>
      <w:rFonts w:ascii="Tahoma" w:hAnsi="Tahoma"/>
      <w:sz w:val="16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jpeg" Type="http://schemas.openxmlformats.org/officeDocument/2006/relationships/image"/>
  <Relationship Id="rId2" Target="media/2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2025-11-13T15:10:08Z</dcterms:modified>
</cp:coreProperties>
</file>